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9D" w:rsidRDefault="0045102D" w:rsidP="00C75751">
      <w:pPr>
        <w:pStyle w:val="Ttulo2"/>
      </w:pPr>
      <w:r>
        <w:t xml:space="preserve">TEMA </w:t>
      </w:r>
      <w:r w:rsidR="004D6864">
        <w:t>27</w:t>
      </w:r>
      <w:r w:rsidR="004B7CD6">
        <w:t>: IMPUESTO SOBRE TRANSMISIONES PATRIMONIALES Y ACTOS JURÍDICOSDOCUMENTADOS</w:t>
      </w:r>
    </w:p>
    <w:p w:rsidR="00C75751" w:rsidRPr="00C75751" w:rsidRDefault="00C75751" w:rsidP="00C75751"/>
    <w:p w:rsidR="00A06C9D" w:rsidRDefault="00A06C9D" w:rsidP="00A06C9D">
      <w:pPr>
        <w:pStyle w:val="Prrafodelista"/>
        <w:numPr>
          <w:ilvl w:val="0"/>
          <w:numId w:val="27"/>
        </w:numPr>
        <w:rPr>
          <w:b/>
        </w:rPr>
      </w:pPr>
      <w:r w:rsidRPr="00A06C9D">
        <w:rPr>
          <w:b/>
        </w:rPr>
        <w:t>INTRODUCCIÓN</w:t>
      </w:r>
    </w:p>
    <w:p w:rsidR="00A06C9D" w:rsidRDefault="0045102D" w:rsidP="00555485">
      <w:pPr>
        <w:ind w:left="644"/>
        <w:jc w:val="both"/>
      </w:pPr>
      <w:r>
        <w:t>El artículo</w:t>
      </w:r>
      <w:r w:rsidR="004B7CD6">
        <w:t xml:space="preserve"> 1 del Texto Refundido de la Ley ITP y AJD (R.D. LEG: 1/1993, de24 de septiembre) determina que es un tributo de naturaleza indirecta que grava:</w:t>
      </w:r>
    </w:p>
    <w:p w:rsidR="004B7CD6" w:rsidRDefault="004B7CD6" w:rsidP="00555485">
      <w:pPr>
        <w:ind w:left="644"/>
        <w:jc w:val="both"/>
      </w:pPr>
      <w:r>
        <w:t>- Las transmisiones patrimoniales onerosas</w:t>
      </w:r>
    </w:p>
    <w:p w:rsidR="004B7CD6" w:rsidRDefault="004B7CD6" w:rsidP="00555485">
      <w:pPr>
        <w:ind w:left="644"/>
        <w:jc w:val="both"/>
      </w:pPr>
      <w:r>
        <w:t>- Las operaciones societarias</w:t>
      </w:r>
    </w:p>
    <w:p w:rsidR="004B7CD6" w:rsidRDefault="004B7CD6" w:rsidP="00555485">
      <w:pPr>
        <w:ind w:left="644"/>
        <w:jc w:val="both"/>
      </w:pPr>
      <w:r>
        <w:t>- Los actos jurídicos documentados (documentos notariales, documentos mercantiles y documentos administrativos) en dos modalidades cuota fija y variable</w:t>
      </w:r>
    </w:p>
    <w:p w:rsidR="004B7CD6" w:rsidRDefault="002D5E94" w:rsidP="00555485">
      <w:pPr>
        <w:ind w:left="644"/>
        <w:jc w:val="both"/>
      </w:pPr>
      <w:r>
        <w:t>Es incompatible la tributación por transmisiones onerosas, con la de operaciones societarias y ambas con la cuota variable de actos jurídicos documentados.</w:t>
      </w:r>
    </w:p>
    <w:p w:rsidR="006C4A18" w:rsidRDefault="002D5E94" w:rsidP="00762FCA">
      <w:pPr>
        <w:pStyle w:val="Prrafodelista"/>
        <w:numPr>
          <w:ilvl w:val="0"/>
          <w:numId w:val="27"/>
        </w:numPr>
        <w:jc w:val="both"/>
        <w:rPr>
          <w:b/>
        </w:rPr>
      </w:pPr>
      <w:r>
        <w:rPr>
          <w:b/>
        </w:rPr>
        <w:t>TRANSMISIONES PATRIMONIALES ONEROSAS: HECHO IMPONIBLE, SUJETO PASIVO, BASE IMPONIBLE, CUOTA TRIBUTARIA Y REGLAS ESPECIALES.</w:t>
      </w:r>
    </w:p>
    <w:p w:rsidR="00555485" w:rsidRPr="006C4A18" w:rsidRDefault="00555485" w:rsidP="00555485">
      <w:pPr>
        <w:pStyle w:val="Prrafodelista"/>
        <w:ind w:left="644"/>
        <w:jc w:val="both"/>
        <w:rPr>
          <w:b/>
        </w:rPr>
      </w:pPr>
    </w:p>
    <w:p w:rsidR="00A5034F" w:rsidRDefault="002D5E94" w:rsidP="00A5034F">
      <w:pPr>
        <w:pStyle w:val="Prrafodelista"/>
        <w:ind w:left="644"/>
        <w:jc w:val="both"/>
      </w:pPr>
      <w:r>
        <w:t>- HECHO IMPONIBLE (ART.7)</w:t>
      </w:r>
    </w:p>
    <w:p w:rsidR="002D5E94" w:rsidRDefault="002D5E94" w:rsidP="00A5034F">
      <w:pPr>
        <w:pStyle w:val="Prrafodelista"/>
        <w:ind w:left="644"/>
        <w:jc w:val="both"/>
      </w:pPr>
      <w:r>
        <w:t>Son transmisiones patrimoniales sujetas:</w:t>
      </w:r>
    </w:p>
    <w:p w:rsidR="002D5E94" w:rsidRDefault="002D5E94" w:rsidP="00A5034F">
      <w:pPr>
        <w:pStyle w:val="Prrafodelista"/>
        <w:ind w:left="644"/>
        <w:jc w:val="both"/>
      </w:pPr>
      <w:r>
        <w:t>Las transmisiones onerosas por actos inter vivos de toda clase de bienes y derechos que integren el patrimonio de las personas físicas o jurídicas</w:t>
      </w:r>
    </w:p>
    <w:p w:rsidR="002D5E94" w:rsidRDefault="002D5E94" w:rsidP="00A5034F">
      <w:pPr>
        <w:pStyle w:val="Prrafodelista"/>
        <w:ind w:left="644"/>
        <w:jc w:val="both"/>
      </w:pPr>
      <w:r>
        <w:t>La constitución de derechos reales, préstamos, fianzas, arrendamientos, pensiones y concesiones administrativas (salvo las relativas al ferrocarril, puertos y aeropuertos)</w:t>
      </w:r>
    </w:p>
    <w:p w:rsidR="002D5E94" w:rsidRDefault="00E94717" w:rsidP="00A5034F">
      <w:pPr>
        <w:pStyle w:val="Prrafodelista"/>
        <w:ind w:left="644"/>
        <w:jc w:val="both"/>
      </w:pPr>
      <w:r>
        <w:t>Se eq</w:t>
      </w:r>
      <w:r w:rsidR="007C5CFF">
        <w:t>uiparan a las transmisiones anteriores y tributarán por el impuesto: las adjudicaciones en pago de deudas, los excesos de adjudicación y los expedientes de dominio.</w:t>
      </w:r>
    </w:p>
    <w:p w:rsidR="007C5CFF" w:rsidRDefault="007C5CFF" w:rsidP="00A5034F">
      <w:pPr>
        <w:pStyle w:val="Prrafodelista"/>
        <w:ind w:left="644"/>
        <w:jc w:val="both"/>
      </w:pPr>
      <w:r>
        <w:t>- SUPUESTOS DE NO SUJECIÓN</w:t>
      </w:r>
    </w:p>
    <w:p w:rsidR="007C5CFF" w:rsidRDefault="003B553D" w:rsidP="00A5034F">
      <w:pPr>
        <w:pStyle w:val="Prrafodelista"/>
        <w:ind w:left="644"/>
        <w:jc w:val="both"/>
      </w:pPr>
      <w:r>
        <w:t>No están sujetas las transmisiones sujetas al IVA y las transmisiones de inmuebles sujetas y no exentas del IVA (Incompatibilidad ITP con IVA)</w:t>
      </w:r>
    </w:p>
    <w:p w:rsidR="003B553D" w:rsidRDefault="003B553D" w:rsidP="00A5034F">
      <w:pPr>
        <w:pStyle w:val="Prrafodelista"/>
        <w:ind w:left="644"/>
        <w:jc w:val="both"/>
      </w:pPr>
      <w:r>
        <w:t>- SUJETO PASIVO (ART. 8)</w:t>
      </w:r>
    </w:p>
    <w:p w:rsidR="003B553D" w:rsidRDefault="003B553D" w:rsidP="00A5034F">
      <w:pPr>
        <w:pStyle w:val="Prrafodelista"/>
        <w:ind w:left="644"/>
        <w:jc w:val="both"/>
      </w:pPr>
      <w:r>
        <w:t>Son contribuyentes:</w:t>
      </w:r>
    </w:p>
    <w:p w:rsidR="003B553D" w:rsidRDefault="003B553D" w:rsidP="00A5034F">
      <w:pPr>
        <w:pStyle w:val="Prrafodelista"/>
        <w:ind w:left="644"/>
        <w:jc w:val="both"/>
      </w:pPr>
      <w:r>
        <w:t xml:space="preserve">En las transmisiones de bienes y derechos, los adquirentes </w:t>
      </w:r>
    </w:p>
    <w:p w:rsidR="003B553D" w:rsidRDefault="003B553D" w:rsidP="00A5034F">
      <w:pPr>
        <w:pStyle w:val="Prrafodelista"/>
        <w:ind w:left="644"/>
        <w:jc w:val="both"/>
      </w:pPr>
      <w:r>
        <w:t>En los expedientes de dominio, la persona que los promueva</w:t>
      </w:r>
    </w:p>
    <w:p w:rsidR="003B553D" w:rsidRDefault="0045273B" w:rsidP="00A5034F">
      <w:pPr>
        <w:pStyle w:val="Prrafodelista"/>
        <w:ind w:left="644"/>
        <w:jc w:val="both"/>
      </w:pPr>
      <w:r>
        <w:t>En la constitución de derechos reales, aquel a cuyo favor se realice el acto.</w:t>
      </w:r>
    </w:p>
    <w:p w:rsidR="0045273B" w:rsidRDefault="0045273B" w:rsidP="00A5034F">
      <w:pPr>
        <w:pStyle w:val="Prrafodelista"/>
        <w:ind w:left="644"/>
        <w:jc w:val="both"/>
      </w:pPr>
      <w:r>
        <w:t>En la constitución de préstamos, el prestatario.</w:t>
      </w:r>
    </w:p>
    <w:p w:rsidR="0045273B" w:rsidRDefault="0045273B" w:rsidP="00A5034F">
      <w:pPr>
        <w:pStyle w:val="Prrafodelista"/>
        <w:ind w:left="644"/>
        <w:jc w:val="both"/>
      </w:pPr>
      <w:r>
        <w:t>En la constitución de fianzas, el acreedor afianzado.</w:t>
      </w:r>
    </w:p>
    <w:p w:rsidR="0045273B" w:rsidRDefault="0045273B" w:rsidP="00A5034F">
      <w:pPr>
        <w:pStyle w:val="Prrafodelista"/>
        <w:ind w:left="644"/>
        <w:jc w:val="both"/>
      </w:pPr>
      <w:r>
        <w:t>En la constitución de arrendamientos, el arrendatario.</w:t>
      </w:r>
    </w:p>
    <w:p w:rsidR="0045273B" w:rsidRDefault="0045273B" w:rsidP="00A5034F">
      <w:pPr>
        <w:pStyle w:val="Prrafodelista"/>
        <w:ind w:left="644"/>
        <w:jc w:val="both"/>
      </w:pPr>
      <w:r>
        <w:t>En la constitución de pensiones, el pensionista.</w:t>
      </w:r>
    </w:p>
    <w:p w:rsidR="0045273B" w:rsidRDefault="0045273B" w:rsidP="00A5034F">
      <w:pPr>
        <w:pStyle w:val="Prrafodelista"/>
        <w:ind w:left="644"/>
        <w:jc w:val="both"/>
      </w:pPr>
      <w:r>
        <w:t>En las concesiones administrativas, el concesionario.</w:t>
      </w:r>
    </w:p>
    <w:p w:rsidR="0045273B" w:rsidRDefault="0045273B" w:rsidP="00A5034F">
      <w:pPr>
        <w:pStyle w:val="Prrafodelista"/>
        <w:ind w:left="644"/>
        <w:jc w:val="both"/>
      </w:pPr>
    </w:p>
    <w:p w:rsidR="0045273B" w:rsidRDefault="0045273B" w:rsidP="00A5034F">
      <w:pPr>
        <w:pStyle w:val="Prrafodelista"/>
        <w:ind w:left="644"/>
        <w:jc w:val="both"/>
      </w:pPr>
      <w:r>
        <w:lastRenderedPageBreak/>
        <w:t>Son responsables subsidiarios los prestamistas, arrendadores y funcionarios que autoricen cambios del sujeto pasivo de cualquier tributo; todos ellos sin haber exigido al contribuyente el justificante del pago del impuesto.</w:t>
      </w:r>
    </w:p>
    <w:p w:rsidR="0045273B" w:rsidRDefault="0045273B" w:rsidP="00A5034F">
      <w:pPr>
        <w:pStyle w:val="Prrafodelista"/>
        <w:ind w:left="644"/>
        <w:jc w:val="both"/>
      </w:pPr>
      <w:r>
        <w:t>- BASE IMPONIBLE.</w:t>
      </w:r>
    </w:p>
    <w:p w:rsidR="0045273B" w:rsidRDefault="001A767A" w:rsidP="00A5034F">
      <w:pPr>
        <w:pStyle w:val="Prrafodelista"/>
        <w:ind w:left="644"/>
        <w:jc w:val="both"/>
      </w:pPr>
      <w:r>
        <w:t>La base imponible está constituida por el valor real del bien transmitido o del derecho que se constituya o ceda. Únicamente serán deducibles las cargas (como los censos y pensiones) que disminuyan el valor real de los bienes, pero no las deudas, aunque estén garantizadas con prenda o hipoteca.</w:t>
      </w:r>
    </w:p>
    <w:p w:rsidR="001A767A" w:rsidRDefault="001A767A" w:rsidP="00A5034F">
      <w:pPr>
        <w:pStyle w:val="Prrafodelista"/>
        <w:ind w:left="644"/>
        <w:jc w:val="both"/>
      </w:pPr>
    </w:p>
    <w:p w:rsidR="001A767A" w:rsidRDefault="001A767A" w:rsidP="00A5034F">
      <w:pPr>
        <w:pStyle w:val="Prrafodelista"/>
        <w:ind w:left="644"/>
        <w:jc w:val="both"/>
      </w:pPr>
      <w:r>
        <w:t>Además de la norma general de valoración, existen otras normas especiales:</w:t>
      </w:r>
    </w:p>
    <w:p w:rsidR="001A767A" w:rsidRDefault="001A767A" w:rsidP="00E94717">
      <w:pPr>
        <w:pStyle w:val="Prrafodelista"/>
        <w:ind w:left="1004"/>
        <w:jc w:val="both"/>
      </w:pPr>
      <w:r>
        <w:t>Derechos reales</w:t>
      </w:r>
    </w:p>
    <w:p w:rsidR="00370212" w:rsidRDefault="00370212" w:rsidP="00370212">
      <w:pPr>
        <w:pStyle w:val="Prrafodelista"/>
        <w:ind w:left="1004"/>
        <w:jc w:val="both"/>
      </w:pPr>
      <w:r>
        <w:t>El valor del usufructo temporal se calculará proporcionalmente al valor total de los bienes, en razón del 2% por cada año sin exceder del 70%</w:t>
      </w:r>
    </w:p>
    <w:p w:rsidR="00370212" w:rsidRDefault="00370212" w:rsidP="00370212">
      <w:pPr>
        <w:pStyle w:val="Prrafodelista"/>
        <w:ind w:left="1004"/>
        <w:jc w:val="both"/>
      </w:pPr>
      <w:r>
        <w:t>El usufructo vitalicio será 70% del valor de los bienes cuando el usufructuario cuente menos de 20 años, minorando un 1% por cada año que exceda de dicha edad con el límite mínimo del 10% del valor total (89-edad del usufructuario) %</w:t>
      </w:r>
    </w:p>
    <w:p w:rsidR="00370212" w:rsidRDefault="00370212" w:rsidP="00370212">
      <w:pPr>
        <w:pStyle w:val="Prrafodelista"/>
        <w:ind w:left="1004"/>
        <w:jc w:val="both"/>
      </w:pPr>
      <w:r>
        <w:t>El valor de la nuda propiedad será la diferencia entre el valor total de los bienes y el valor del usufructo.</w:t>
      </w:r>
    </w:p>
    <w:p w:rsidR="00370212" w:rsidRDefault="00370212" w:rsidP="00370212">
      <w:pPr>
        <w:pStyle w:val="Prrafodelista"/>
        <w:ind w:left="1004"/>
        <w:jc w:val="both"/>
      </w:pPr>
      <w:r>
        <w:t>El valor de los derechos reales de uso y habitación será el que resulte de aplicar el 75% al resultado de aplicar las reglas de valoración de usufructos.</w:t>
      </w:r>
    </w:p>
    <w:p w:rsidR="00370212" w:rsidRDefault="00370212" w:rsidP="00370212">
      <w:pPr>
        <w:pStyle w:val="Prrafodelista"/>
        <w:ind w:left="1004"/>
        <w:jc w:val="both"/>
      </w:pPr>
      <w:r>
        <w:t>Los derechos reales de garantía como la hipoteca, prenda o anticresis se valoran en el importe de la obligación o capital garantizado (capital, intereses e indemnizaciones etc.) Si no consta expresamente el importe de la cantidad garantizada, se tomará como base, el capital y tres años de intereses.</w:t>
      </w:r>
    </w:p>
    <w:p w:rsidR="00BC2BEB" w:rsidRDefault="00BC2BEB" w:rsidP="00370212">
      <w:pPr>
        <w:pStyle w:val="Prrafodelista"/>
        <w:ind w:left="1004"/>
        <w:jc w:val="both"/>
      </w:pPr>
      <w:r>
        <w:t>El resto de derechos reales que no tengan regla específica como el derecho de superficie se imputarán por el capital, precio o valor que las partes hubiesen pactado al constituirlos, si fuere mayor que lo que resulte de capitalizar la renta o pensión anual al interés legal del dinero, o esta última cantidad si fuese menor.</w:t>
      </w:r>
    </w:p>
    <w:p w:rsidR="00BC2BEB" w:rsidRDefault="00BC2BEB" w:rsidP="00E94717">
      <w:pPr>
        <w:pStyle w:val="Prrafodelista"/>
        <w:ind w:left="1004"/>
        <w:jc w:val="both"/>
      </w:pPr>
      <w:r>
        <w:t>Arrendamientos</w:t>
      </w:r>
    </w:p>
    <w:p w:rsidR="00BC2BEB" w:rsidRDefault="00BC2BEB" w:rsidP="00BC2BEB">
      <w:pPr>
        <w:pStyle w:val="Prrafodelista"/>
        <w:ind w:left="1004"/>
        <w:jc w:val="both"/>
      </w:pPr>
      <w:r>
        <w:t>Servirá de base la cantidad total que haya de satisfacerse por todo el periodo de duración del contrato, cuando no constase se girará la liquidación por seis años sin perjuicio de las liquidaciones adicionales que deban practicarse.</w:t>
      </w:r>
    </w:p>
    <w:p w:rsidR="00BC2BEB" w:rsidRDefault="00BC2BEB" w:rsidP="00E94717">
      <w:pPr>
        <w:pStyle w:val="Prrafodelista"/>
        <w:ind w:left="1004"/>
        <w:jc w:val="both"/>
      </w:pPr>
      <w:r>
        <w:t>Pensiones</w:t>
      </w:r>
    </w:p>
    <w:p w:rsidR="00BC2BEB" w:rsidRDefault="00BC2BEB" w:rsidP="00BC2BEB">
      <w:pPr>
        <w:pStyle w:val="Prrafodelista"/>
        <w:ind w:left="1004"/>
        <w:jc w:val="both"/>
      </w:pPr>
      <w:r>
        <w:t>La base imponible de las pensiones se obtiene capitalizándose al interés legal del dinero y aplicando al resultado los porcentajes previstos para la valoración de los usufructos en función de la edad del pensionista si la renta es vitalicia y de la duración de la pensión si es temporal.</w:t>
      </w:r>
    </w:p>
    <w:p w:rsidR="00BC2BEB" w:rsidRDefault="00BC2BEB" w:rsidP="00BC2BEB">
      <w:pPr>
        <w:ind w:left="708"/>
        <w:jc w:val="both"/>
      </w:pPr>
      <w:r>
        <w:t>- CUOTA TRIBUTARIA (ART. 11)</w:t>
      </w:r>
    </w:p>
    <w:p w:rsidR="00BC2BEB" w:rsidRDefault="00E3457B" w:rsidP="00BC2BEB">
      <w:pPr>
        <w:ind w:left="708"/>
        <w:jc w:val="both"/>
      </w:pPr>
      <w:r>
        <w:t>Se obtendrá aplicando sobre la base liquidable los tipos fijados por la Comunidad Autónoma y en su defecto los siguientes:</w:t>
      </w:r>
    </w:p>
    <w:p w:rsidR="00E3457B" w:rsidRDefault="00E3457B" w:rsidP="00BC2BEB">
      <w:pPr>
        <w:ind w:left="708"/>
        <w:jc w:val="both"/>
      </w:pPr>
      <w:r>
        <w:t>Bienes Inmuebles (excepto derechos reales de garantía): 6%</w:t>
      </w:r>
    </w:p>
    <w:p w:rsidR="00E3457B" w:rsidRDefault="00E3457B" w:rsidP="00BC2BEB">
      <w:pPr>
        <w:ind w:left="708"/>
        <w:jc w:val="both"/>
      </w:pPr>
      <w:r>
        <w:t>Bienes muebles y semovientes: 4%</w:t>
      </w:r>
    </w:p>
    <w:p w:rsidR="00E3457B" w:rsidRDefault="00E3457B" w:rsidP="00BC2BEB">
      <w:pPr>
        <w:ind w:left="708"/>
        <w:jc w:val="both"/>
      </w:pPr>
      <w:r>
        <w:lastRenderedPageBreak/>
        <w:t>Derechos reales de garantía, pensiones, fianzas o préstamos: 1%</w:t>
      </w:r>
    </w:p>
    <w:p w:rsidR="00E3457B" w:rsidRDefault="00E3457B" w:rsidP="00BC2BEB">
      <w:pPr>
        <w:ind w:left="708"/>
        <w:jc w:val="both"/>
      </w:pPr>
      <w:r>
        <w:t>- REGLAS ESPECIALES (ARTS. 13 AL 18)</w:t>
      </w:r>
    </w:p>
    <w:p w:rsidR="00E3457B" w:rsidRDefault="00E3457B" w:rsidP="00BC2BEB">
      <w:pPr>
        <w:ind w:left="708"/>
        <w:jc w:val="both"/>
      </w:pPr>
      <w:r>
        <w:t>Concesiones administrativas.</w:t>
      </w:r>
    </w:p>
    <w:p w:rsidR="00E3457B" w:rsidRDefault="00E3457B" w:rsidP="00BC2BEB">
      <w:pPr>
        <w:ind w:left="708"/>
        <w:jc w:val="both"/>
      </w:pPr>
      <w:r>
        <w:t>Tipo: 4%</w:t>
      </w:r>
    </w:p>
    <w:p w:rsidR="00B00942" w:rsidRDefault="00E3457B" w:rsidP="00B00942">
      <w:pPr>
        <w:pStyle w:val="Prrafodelista"/>
        <w:ind w:left="644"/>
        <w:jc w:val="both"/>
      </w:pPr>
      <w:r>
        <w:t xml:space="preserve">Base: </w:t>
      </w:r>
      <w:r w:rsidR="00B00942">
        <w:t>Si la administración señala una cantidad total en concepto de precio o canon, el importe de la misma. Si el canon es periódico y la duración de la concesión no es superior a un año, la suma total de las prestaciones periódicas y si la duración de la concesión es superior a un año, capitalizando al 10% la cantidad anual que satisfaga el concesionario. Cuando el concesionario deba revertir a la Administración bienes determinados se computará el valor neto contable estimado de dichos bienes en la fecha de la reversión más los gastos previstos para ésta.</w:t>
      </w:r>
    </w:p>
    <w:p w:rsidR="00B00942" w:rsidRDefault="00B00942" w:rsidP="00B00942">
      <w:pPr>
        <w:pStyle w:val="Prrafodelista"/>
        <w:ind w:left="644"/>
        <w:jc w:val="both"/>
      </w:pPr>
    </w:p>
    <w:p w:rsidR="00B00942" w:rsidRDefault="00B00942" w:rsidP="00B00942">
      <w:pPr>
        <w:pStyle w:val="Prrafodelista"/>
        <w:ind w:left="644"/>
        <w:jc w:val="both"/>
      </w:pPr>
      <w:r>
        <w:t>Consolidación del dominio.</w:t>
      </w:r>
    </w:p>
    <w:p w:rsidR="00B00942" w:rsidRDefault="00C6589E" w:rsidP="00B00942">
      <w:pPr>
        <w:pStyle w:val="Prrafodelista"/>
        <w:ind w:left="644"/>
        <w:jc w:val="both"/>
      </w:pPr>
      <w:r>
        <w:t>El nudo propietario tributará en concepto de transmisión patrimonial onerosa atendiendo al valor del derecho que ingrese en su patrimonio.</w:t>
      </w:r>
    </w:p>
    <w:p w:rsidR="00C6589E" w:rsidRDefault="00C6589E" w:rsidP="00B00942">
      <w:pPr>
        <w:pStyle w:val="Prrafodelista"/>
        <w:ind w:left="644"/>
        <w:jc w:val="both"/>
      </w:pPr>
    </w:p>
    <w:p w:rsidR="00C6589E" w:rsidRDefault="00C6589E" w:rsidP="00B00942">
      <w:pPr>
        <w:pStyle w:val="Prrafodelista"/>
        <w:ind w:left="644"/>
        <w:jc w:val="both"/>
      </w:pPr>
      <w:r>
        <w:t>Promesas y Opciones.</w:t>
      </w:r>
    </w:p>
    <w:p w:rsidR="00C6589E" w:rsidRDefault="00C6589E" w:rsidP="00C6589E">
      <w:pPr>
        <w:pStyle w:val="Prrafodelista"/>
        <w:ind w:left="644"/>
        <w:jc w:val="both"/>
      </w:pPr>
      <w:r>
        <w:t>La base será el precio especial convenido en la opción y a falta de este el 5% de la base aplicable a dichos contratos</w:t>
      </w:r>
    </w:p>
    <w:p w:rsidR="00C6589E" w:rsidRDefault="00C6589E" w:rsidP="00C6589E">
      <w:pPr>
        <w:pStyle w:val="Prrafodelista"/>
        <w:ind w:left="644"/>
        <w:jc w:val="both"/>
      </w:pPr>
    </w:p>
    <w:p w:rsidR="00C6589E" w:rsidRDefault="00C6589E" w:rsidP="00C6589E">
      <w:pPr>
        <w:pStyle w:val="Prrafodelista"/>
        <w:ind w:left="644"/>
        <w:jc w:val="both"/>
      </w:pPr>
      <w:r>
        <w:t>Transmisiones de bienes y derechos con cláusula retro.</w:t>
      </w:r>
    </w:p>
    <w:p w:rsidR="004D6864" w:rsidRDefault="004D6864" w:rsidP="00B00942">
      <w:pPr>
        <w:pStyle w:val="Prrafodelista"/>
        <w:ind w:left="644"/>
        <w:jc w:val="both"/>
      </w:pPr>
      <w:r>
        <w:t>Servirá de base el precio declarado si fuese mayor o igual que los dos tercios del valor comprobado. En la transmisión del derecho a retraer, la tercera parte de dicho valor, salvo que el precio declarado fuese mayor. Cuando se ejercite el derecho de retracto servirá de base las dos terceras partes del valor comprobado de los bienes retraídos.</w:t>
      </w:r>
    </w:p>
    <w:p w:rsidR="004D6864" w:rsidRDefault="004D6864" w:rsidP="00B00942">
      <w:pPr>
        <w:pStyle w:val="Prrafodelista"/>
        <w:ind w:left="644"/>
        <w:jc w:val="both"/>
      </w:pPr>
    </w:p>
    <w:p w:rsidR="004D6864" w:rsidRDefault="004D6864" w:rsidP="004D6864">
      <w:pPr>
        <w:pStyle w:val="Prrafodelista"/>
        <w:ind w:left="644"/>
        <w:jc w:val="both"/>
      </w:pPr>
      <w:r>
        <w:t>Transacciones (acuerdos prejudiciales)</w:t>
      </w:r>
    </w:p>
    <w:p w:rsidR="00641A99" w:rsidRDefault="004D6864" w:rsidP="00D66B7B">
      <w:pPr>
        <w:pStyle w:val="Prrafodelista"/>
        <w:ind w:left="644"/>
        <w:jc w:val="both"/>
      </w:pPr>
      <w:r>
        <w:t>Se liquidará el impuesto</w:t>
      </w:r>
      <w:r w:rsidR="00641A99">
        <w:t xml:space="preserve"> según el título por el cual se adjudiquen, declaren o reconozcan los bienes litigiosos y si no constare por el concepto de transmisión onerosa.</w:t>
      </w:r>
    </w:p>
    <w:p w:rsidR="00D66B7B" w:rsidRDefault="00D66B7B" w:rsidP="00D66B7B">
      <w:pPr>
        <w:pStyle w:val="parrafo"/>
        <w:spacing w:before="180" w:beforeAutospacing="0" w:after="180" w:afterAutospacing="0"/>
        <w:ind w:left="644"/>
        <w:jc w:val="both"/>
        <w:rPr>
          <w:rFonts w:asciiTheme="minorHAnsi" w:hAnsiTheme="minorHAnsi" w:cstheme="minorHAnsi"/>
          <w:color w:val="333333"/>
          <w:sz w:val="22"/>
          <w:szCs w:val="22"/>
        </w:rPr>
      </w:pPr>
      <w:r>
        <w:rPr>
          <w:rFonts w:asciiTheme="minorHAnsi" w:hAnsiTheme="minorHAnsi" w:cstheme="minorHAnsi"/>
          <w:color w:val="333333"/>
          <w:sz w:val="22"/>
          <w:szCs w:val="22"/>
        </w:rPr>
        <w:t>Cesiones de bienes y derechos a cambio de pensiones vitalicias o temporales</w:t>
      </w:r>
    </w:p>
    <w:p w:rsidR="00641A99" w:rsidRPr="00641A99" w:rsidRDefault="00641A99" w:rsidP="00D66B7B">
      <w:pPr>
        <w:pStyle w:val="parrafo"/>
        <w:spacing w:before="180" w:beforeAutospacing="0" w:after="180" w:afterAutospacing="0"/>
        <w:ind w:left="644"/>
        <w:jc w:val="both"/>
        <w:rPr>
          <w:rFonts w:asciiTheme="minorHAnsi" w:hAnsiTheme="minorHAnsi" w:cstheme="minorHAnsi"/>
          <w:color w:val="333333"/>
          <w:sz w:val="22"/>
          <w:szCs w:val="22"/>
        </w:rPr>
      </w:pPr>
      <w:r w:rsidRPr="00641A99">
        <w:rPr>
          <w:rFonts w:asciiTheme="minorHAnsi" w:hAnsiTheme="minorHAnsi" w:cstheme="minorHAnsi"/>
          <w:color w:val="333333"/>
          <w:sz w:val="22"/>
          <w:szCs w:val="22"/>
        </w:rPr>
        <w:t>Cuando en las cesiones de bienes a cambio de pensiones vitalicias o temporales, la base imponible a efectos de la cesión sea superior en más del 20 p</w:t>
      </w:r>
      <w:r w:rsidR="00D66B7B">
        <w:rPr>
          <w:rFonts w:asciiTheme="minorHAnsi" w:hAnsiTheme="minorHAnsi" w:cstheme="minorHAnsi"/>
          <w:color w:val="333333"/>
          <w:sz w:val="22"/>
          <w:szCs w:val="22"/>
        </w:rPr>
        <w:t>or 100 y en 12.020,24 euros</w:t>
      </w:r>
      <w:r w:rsidRPr="00641A99">
        <w:rPr>
          <w:rFonts w:asciiTheme="minorHAnsi" w:hAnsiTheme="minorHAnsi" w:cstheme="minorHAnsi"/>
          <w:color w:val="333333"/>
          <w:sz w:val="22"/>
          <w:szCs w:val="22"/>
        </w:rPr>
        <w:t xml:space="preserve"> a la de la pensión, la liquidación a cargo del cesionario de los bienes se girará por el valor en que ambas bases coincidan y por la diferencia se le practicará otra por el concepto de donación.</w:t>
      </w:r>
    </w:p>
    <w:p w:rsidR="00D66B7B" w:rsidRDefault="00D66B7B" w:rsidP="00D66B7B">
      <w:pPr>
        <w:shd w:val="clear" w:color="auto" w:fill="FFFFFF"/>
        <w:spacing w:before="180" w:after="180" w:line="240" w:lineRule="auto"/>
        <w:ind w:left="644"/>
        <w:jc w:val="both"/>
        <w:rPr>
          <w:rFonts w:eastAsia="Times New Roman" w:cstheme="minorHAnsi"/>
          <w:color w:val="333333"/>
          <w:lang w:eastAsia="es-ES"/>
        </w:rPr>
      </w:pPr>
      <w:r>
        <w:rPr>
          <w:rFonts w:eastAsia="Times New Roman" w:cstheme="minorHAnsi"/>
          <w:color w:val="333333"/>
          <w:lang w:eastAsia="es-ES"/>
        </w:rPr>
        <w:t>Préstamos con garantía.</w:t>
      </w:r>
    </w:p>
    <w:p w:rsidR="00641A99" w:rsidRPr="00641A99" w:rsidRDefault="00641A99" w:rsidP="00D66B7B">
      <w:pPr>
        <w:shd w:val="clear" w:color="auto" w:fill="FFFFFF"/>
        <w:spacing w:before="180" w:after="180" w:line="240" w:lineRule="auto"/>
        <w:ind w:left="644"/>
        <w:jc w:val="both"/>
        <w:rPr>
          <w:rFonts w:eastAsia="Times New Roman" w:cstheme="minorHAnsi"/>
          <w:color w:val="333333"/>
          <w:lang w:eastAsia="es-ES"/>
        </w:rPr>
      </w:pPr>
      <w:r w:rsidRPr="00641A99">
        <w:rPr>
          <w:rFonts w:eastAsia="Times New Roman" w:cstheme="minorHAnsi"/>
          <w:color w:val="333333"/>
          <w:lang w:eastAsia="es-ES"/>
        </w:rPr>
        <w:t>La constitución de las fianzas y de los derechos de hipoteca, prenda y anticresis, en garantía de un préstamo, tributarán exclusivamente por el concepto de préstamo.</w:t>
      </w:r>
    </w:p>
    <w:p w:rsidR="00D66B7B" w:rsidRDefault="00D66B7B" w:rsidP="00D66B7B">
      <w:pPr>
        <w:shd w:val="clear" w:color="auto" w:fill="FFFFFF"/>
        <w:spacing w:before="180" w:after="180" w:line="240" w:lineRule="auto"/>
        <w:ind w:left="284" w:firstLine="360"/>
        <w:jc w:val="both"/>
        <w:rPr>
          <w:rFonts w:eastAsia="Times New Roman" w:cstheme="minorHAnsi"/>
          <w:color w:val="333333"/>
          <w:lang w:eastAsia="es-ES"/>
        </w:rPr>
      </w:pPr>
    </w:p>
    <w:p w:rsidR="00D66B7B" w:rsidRDefault="00D66B7B" w:rsidP="00D66B7B">
      <w:pPr>
        <w:shd w:val="clear" w:color="auto" w:fill="FFFFFF"/>
        <w:spacing w:before="180" w:after="180" w:line="240" w:lineRule="auto"/>
        <w:ind w:left="284" w:firstLine="360"/>
        <w:jc w:val="both"/>
        <w:rPr>
          <w:rFonts w:eastAsia="Times New Roman" w:cstheme="minorHAnsi"/>
          <w:color w:val="333333"/>
          <w:lang w:eastAsia="es-ES"/>
        </w:rPr>
      </w:pPr>
      <w:r>
        <w:rPr>
          <w:rFonts w:eastAsia="Times New Roman" w:cstheme="minorHAnsi"/>
          <w:color w:val="333333"/>
          <w:lang w:eastAsia="es-ES"/>
        </w:rPr>
        <w:lastRenderedPageBreak/>
        <w:t>Subrogación acreedor prendario, hipotecario o anticrético.</w:t>
      </w:r>
    </w:p>
    <w:p w:rsidR="00641A99" w:rsidRPr="00641A99" w:rsidRDefault="00641A99" w:rsidP="00D66B7B">
      <w:pPr>
        <w:shd w:val="clear" w:color="auto" w:fill="FFFFFF"/>
        <w:spacing w:before="180" w:after="180" w:line="240" w:lineRule="auto"/>
        <w:ind w:left="644"/>
        <w:jc w:val="both"/>
        <w:rPr>
          <w:rFonts w:eastAsia="Times New Roman" w:cstheme="minorHAnsi"/>
          <w:color w:val="333333"/>
          <w:lang w:eastAsia="es-ES"/>
        </w:rPr>
      </w:pPr>
      <w:r w:rsidRPr="00641A99">
        <w:rPr>
          <w:rFonts w:eastAsia="Times New Roman" w:cstheme="minorHAnsi"/>
          <w:color w:val="333333"/>
          <w:lang w:eastAsia="es-ES"/>
        </w:rPr>
        <w:t>La subrogación en los derechos del acreedor prendario, hipotecario o anticrético se considerará como transmis</w:t>
      </w:r>
      <w:r w:rsidR="00D66B7B">
        <w:rPr>
          <w:rFonts w:eastAsia="Times New Roman" w:cstheme="minorHAnsi"/>
          <w:color w:val="333333"/>
          <w:lang w:eastAsia="es-ES"/>
        </w:rPr>
        <w:t>ión de derechos y al tipo del 1%</w:t>
      </w:r>
    </w:p>
    <w:p w:rsidR="00641A99" w:rsidRDefault="00D66B7B" w:rsidP="00D66B7B">
      <w:pPr>
        <w:ind w:left="644"/>
        <w:jc w:val="both"/>
      </w:pPr>
      <w:r>
        <w:t>Transmisión de Valores.</w:t>
      </w:r>
    </w:p>
    <w:p w:rsidR="00D66B7B" w:rsidRDefault="00E94717" w:rsidP="00D66B7B">
      <w:pPr>
        <w:ind w:left="644"/>
        <w:jc w:val="both"/>
      </w:pPr>
      <w:r>
        <w:t>Tributarán como si de bienes inmuebles se tratara (salvo prueba en contrario) si se cumplen los siguientes supuestos:</w:t>
      </w:r>
    </w:p>
    <w:p w:rsidR="00E94717" w:rsidRDefault="00E94717" w:rsidP="00E94717">
      <w:pPr>
        <w:ind w:left="644"/>
        <w:jc w:val="both"/>
      </w:pPr>
      <w:r>
        <w:t>Se obtiene el control de la entidad cuyo activo está formado al menos en un 50% por inmuebles o cuando los valores transmitidos hayan sido recibidos por aportaciones de bienes inmuebles a sociedades siempre que entre la aportación y la transmisión no hubiera transcurrido el plazo de tres años.</w:t>
      </w:r>
    </w:p>
    <w:p w:rsidR="00B00942" w:rsidRPr="00E94717" w:rsidRDefault="00E94717" w:rsidP="00E94717">
      <w:pPr>
        <w:jc w:val="both"/>
        <w:rPr>
          <w:b/>
        </w:rPr>
      </w:pPr>
      <w:r w:rsidRPr="00E94717">
        <w:rPr>
          <w:b/>
        </w:rPr>
        <w:t>3) OPERACIONES SOCIETARIAS</w:t>
      </w:r>
      <w:r>
        <w:rPr>
          <w:b/>
        </w:rPr>
        <w:t>: HECHO IMPONIBLE, SUJETO PASIVO, BASE IMPONIBLE Y CUOTA TRIBUTARIA</w:t>
      </w:r>
    </w:p>
    <w:p w:rsidR="00E3457B" w:rsidRDefault="00BB1E73" w:rsidP="00E94717">
      <w:pPr>
        <w:jc w:val="both"/>
      </w:pPr>
      <w:r>
        <w:t>HECHO IMPONIBLE</w:t>
      </w:r>
    </w:p>
    <w:p w:rsidR="00BB1E73" w:rsidRDefault="00BB1E73" w:rsidP="00E94717">
      <w:pPr>
        <w:jc w:val="both"/>
      </w:pPr>
      <w:r>
        <w:t>Son operaciones societarias:</w:t>
      </w:r>
    </w:p>
    <w:p w:rsidR="00BB1E73" w:rsidRDefault="00BB1E73" w:rsidP="00BB1E73">
      <w:pPr>
        <w:pStyle w:val="Prrafodelista"/>
        <w:numPr>
          <w:ilvl w:val="0"/>
          <w:numId w:val="31"/>
        </w:numPr>
        <w:jc w:val="both"/>
      </w:pPr>
      <w:r>
        <w:t>La constitución de sociedades, el aumento y disminución del capital social y la disolución de sociedades.</w:t>
      </w:r>
    </w:p>
    <w:p w:rsidR="00BB1E73" w:rsidRDefault="00BB1E73" w:rsidP="00BB1E73">
      <w:pPr>
        <w:pStyle w:val="Prrafodelista"/>
        <w:numPr>
          <w:ilvl w:val="0"/>
          <w:numId w:val="31"/>
        </w:numPr>
        <w:jc w:val="both"/>
      </w:pPr>
      <w:r>
        <w:t>Las aportaciones que efectúen los socios que no supongan un aumento del capital social</w:t>
      </w:r>
    </w:p>
    <w:p w:rsidR="00BB1E73" w:rsidRDefault="00BB1E73" w:rsidP="00BB1E73">
      <w:pPr>
        <w:pStyle w:val="Prrafodelista"/>
        <w:numPr>
          <w:ilvl w:val="0"/>
          <w:numId w:val="31"/>
        </w:numPr>
        <w:jc w:val="both"/>
      </w:pPr>
      <w:r>
        <w:t>El traslado a España de la sede de dirección efectiva o del domicilio social de una sociedad cuando previamente no estuviesen en un estado miembro de la UE</w:t>
      </w:r>
    </w:p>
    <w:p w:rsidR="00BB1E73" w:rsidRDefault="00BB1E73" w:rsidP="00BB1E73">
      <w:pPr>
        <w:jc w:val="both"/>
      </w:pPr>
      <w:r>
        <w:t>No estarán sujetas las modificaciones estatutarias de cambio de objeto social, transformación o prórroga del plazo de duración de la sociedad, ni la ampliación de capital con cargo exclusivamente a la prima de emisión de acciones.</w:t>
      </w:r>
    </w:p>
    <w:p w:rsidR="009572B8" w:rsidRDefault="009572B8" w:rsidP="00BB1E73">
      <w:pPr>
        <w:jc w:val="both"/>
      </w:pPr>
      <w:r>
        <w:t>SUJETO PASIVO</w:t>
      </w:r>
    </w:p>
    <w:p w:rsidR="009572B8" w:rsidRDefault="009572B8" w:rsidP="00BB1E73">
      <w:pPr>
        <w:jc w:val="both"/>
      </w:pPr>
      <w:r>
        <w:t>En la constitución de sociedades, aumento de capital, traslado de sede y aportaciones de los socios: La sociedad</w:t>
      </w:r>
    </w:p>
    <w:p w:rsidR="009572B8" w:rsidRDefault="009572B8" w:rsidP="00BB1E73">
      <w:pPr>
        <w:jc w:val="both"/>
      </w:pPr>
      <w:r>
        <w:t>En las disoluciones de sociedades y reducciones de capital social: los socios</w:t>
      </w:r>
    </w:p>
    <w:p w:rsidR="009572B8" w:rsidRDefault="009572B8" w:rsidP="00BB1E73">
      <w:pPr>
        <w:jc w:val="both"/>
      </w:pPr>
      <w:r>
        <w:t>BASE IMPONIBLE</w:t>
      </w:r>
    </w:p>
    <w:p w:rsidR="009572B8" w:rsidRP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sidRPr="009572B8">
        <w:rPr>
          <w:rFonts w:asciiTheme="minorHAnsi" w:hAnsiTheme="minorHAnsi" w:cstheme="minorHAnsi"/>
          <w:color w:val="333333"/>
          <w:sz w:val="22"/>
          <w:szCs w:val="22"/>
        </w:rPr>
        <w:t>En la constitución y aumento de capital de sociedades que limiten de alguna manera la responsabilidad de los socios, la base imponible coincidirá con el importe nominal en que aquél quede fijado inicialmente o ampliado con adición de las primas de emisión, en su caso, exigidas.</w:t>
      </w:r>
    </w:p>
    <w:p w:rsidR="009572B8" w:rsidRP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sidRPr="009572B8">
        <w:rPr>
          <w:rFonts w:asciiTheme="minorHAnsi" w:hAnsiTheme="minorHAnsi" w:cstheme="minorHAnsi"/>
          <w:color w:val="333333"/>
          <w:sz w:val="22"/>
          <w:szCs w:val="22"/>
        </w:rPr>
        <w:t>Cuando se trate de operaciones realizadas por sociedades distintas de las anteriores y en las aportaciones de los socios que no supongan un aumento del capital social, la base imponible se fijará en el valor neto de la aportación, entendiéndose como tal el valor real de los bienes y derechos aportados minorado por las cargas y gastos que fueren deducibles y por el valor de las deudas que queden a cargo de la sociedad con motivo de la aportación.</w:t>
      </w:r>
    </w:p>
    <w:p w:rsidR="009572B8" w:rsidRP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sidRPr="009572B8">
        <w:rPr>
          <w:rFonts w:asciiTheme="minorHAnsi" w:hAnsiTheme="minorHAnsi" w:cstheme="minorHAnsi"/>
          <w:color w:val="333333"/>
          <w:sz w:val="22"/>
          <w:szCs w:val="22"/>
        </w:rPr>
        <w:lastRenderedPageBreak/>
        <w:t>En los traslados de sede de dirección efectiva o de domicilio social, la base imponible coincidirá con el haber líquido que la sociedad, cuya sede de dirección efectiva o domicilio social se traslada, tenga el día en que se adopte el acuerdo.</w:t>
      </w:r>
    </w:p>
    <w:p w:rsid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sidRPr="009572B8">
        <w:rPr>
          <w:rFonts w:asciiTheme="minorHAnsi" w:hAnsiTheme="minorHAnsi" w:cstheme="minorHAnsi"/>
          <w:color w:val="333333"/>
          <w:sz w:val="22"/>
          <w:szCs w:val="22"/>
        </w:rPr>
        <w:t>En la disminución de capital y en la disolución, la base imponible coincidirá con el valor real de los bienes y derechos entregados a los socios, sin deducción de gastos y deudas.</w:t>
      </w:r>
    </w:p>
    <w:p w:rsid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Pr>
          <w:rFonts w:asciiTheme="minorHAnsi" w:hAnsiTheme="minorHAnsi" w:cstheme="minorHAnsi"/>
          <w:color w:val="333333"/>
          <w:sz w:val="22"/>
          <w:szCs w:val="22"/>
        </w:rPr>
        <w:t>CUOTA TRIBUTARIA</w:t>
      </w:r>
    </w:p>
    <w:p w:rsid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Pr>
          <w:rFonts w:asciiTheme="minorHAnsi" w:hAnsiTheme="minorHAnsi" w:cstheme="minorHAnsi"/>
          <w:color w:val="333333"/>
          <w:sz w:val="22"/>
          <w:szCs w:val="22"/>
        </w:rPr>
        <w:t>Se obtendrá aplicando a la base liquidable el tipo del 1%</w:t>
      </w:r>
    </w:p>
    <w:p w:rsidR="009572B8" w:rsidRPr="009572B8" w:rsidRDefault="009572B8" w:rsidP="009572B8">
      <w:pPr>
        <w:pStyle w:val="parrafo"/>
        <w:spacing w:before="180" w:beforeAutospacing="0" w:after="180" w:afterAutospacing="0"/>
        <w:jc w:val="both"/>
        <w:rPr>
          <w:rFonts w:asciiTheme="minorHAnsi" w:hAnsiTheme="minorHAnsi" w:cstheme="minorHAnsi"/>
          <w:color w:val="333333"/>
          <w:sz w:val="22"/>
          <w:szCs w:val="22"/>
        </w:rPr>
      </w:pPr>
      <w:r w:rsidRPr="009572B8">
        <w:rPr>
          <w:rFonts w:asciiTheme="minorHAnsi" w:hAnsiTheme="minorHAnsi" w:cstheme="minorHAnsi"/>
          <w:b/>
          <w:color w:val="333333"/>
          <w:sz w:val="22"/>
          <w:szCs w:val="22"/>
        </w:rPr>
        <w:t>4)</w:t>
      </w:r>
      <w:r>
        <w:rPr>
          <w:rFonts w:asciiTheme="minorHAnsi" w:hAnsiTheme="minorHAnsi" w:cstheme="minorHAnsi"/>
          <w:color w:val="333333"/>
          <w:sz w:val="22"/>
          <w:szCs w:val="22"/>
        </w:rPr>
        <w:t xml:space="preserve"> </w:t>
      </w:r>
      <w:r>
        <w:rPr>
          <w:b/>
        </w:rPr>
        <w:t>ACTOS JURÍDICOS DOCUMENTADOS: HECHO IMPONIBLE, SUJETO PASIVO, BASE IMPONIBLE Y CUOTA TRIBUTARIA</w:t>
      </w:r>
    </w:p>
    <w:p w:rsidR="009572B8" w:rsidRDefault="009572B8" w:rsidP="00BB1E73">
      <w:pPr>
        <w:jc w:val="both"/>
      </w:pPr>
      <w:r>
        <w:t>HECHO IMPONIBLE</w:t>
      </w:r>
    </w:p>
    <w:p w:rsidR="009572B8" w:rsidRDefault="009572B8" w:rsidP="00BB1E73">
      <w:pPr>
        <w:jc w:val="both"/>
      </w:pPr>
      <w:r>
        <w:t>Se sujetan a gravamen:</w:t>
      </w:r>
    </w:p>
    <w:p w:rsidR="009572B8" w:rsidRDefault="00410C06" w:rsidP="00BB1E73">
      <w:pPr>
        <w:jc w:val="both"/>
      </w:pPr>
      <w:r>
        <w:t>Los documentos notariales (escrituras, actas y testimonios)</w:t>
      </w:r>
    </w:p>
    <w:p w:rsidR="00410C06" w:rsidRDefault="00410C06" w:rsidP="00BB1E73">
      <w:pPr>
        <w:jc w:val="both"/>
      </w:pPr>
      <w:r>
        <w:t>Los documentos mercantiles (letras de cambio y otros instrumentos de giro y certificados de depósito). Quedan exentos los pagarés, bonos y obligaciones emitidos al descuento con un plazo de vencimiento no superior a 18 meses.</w:t>
      </w:r>
    </w:p>
    <w:p w:rsidR="00410C06" w:rsidRDefault="00410C06" w:rsidP="00BB1E73">
      <w:pPr>
        <w:jc w:val="both"/>
      </w:pPr>
      <w:r>
        <w:t>Los documentos administrativos (títulos nobiliarios y anotaciones preventivas no ordenadas de oficio por la autoridad judicial o administrativa competente)</w:t>
      </w:r>
    </w:p>
    <w:p w:rsidR="00410C06" w:rsidRDefault="00410C06" w:rsidP="00BB1E73">
      <w:pPr>
        <w:jc w:val="both"/>
      </w:pPr>
      <w:r>
        <w:t>SUJETOS PASIVOS</w:t>
      </w:r>
    </w:p>
    <w:p w:rsidR="00410C06" w:rsidRPr="00E74DA8" w:rsidRDefault="00410C06" w:rsidP="00BB1E73">
      <w:pPr>
        <w:jc w:val="both"/>
        <w:rPr>
          <w:color w:val="FF0000"/>
        </w:rPr>
      </w:pPr>
      <w:r>
        <w:t>En los documentos notariales, el adquirente del bien o derecho o en su defecto las personas que insten o soliciten los documentos.</w:t>
      </w:r>
      <w:r w:rsidR="00E74DA8">
        <w:t xml:space="preserve"> </w:t>
      </w:r>
      <w:r w:rsidR="00E74DA8" w:rsidRPr="00E74DA8">
        <w:rPr>
          <w:color w:val="FF0000"/>
        </w:rPr>
        <w:t>Cuando se trate de escrituras de préstamo con garantía hipotecaria, se considerará sujeto pasivo al prestamista.</w:t>
      </w:r>
    </w:p>
    <w:p w:rsidR="00410C06" w:rsidRDefault="00410C06" w:rsidP="00BB1E73">
      <w:pPr>
        <w:jc w:val="both"/>
      </w:pPr>
      <w:r>
        <w:t>En los documentos mercantiles, el librador o primer tenedor en España si la letra se emite en el extranjero. En el caso de los certificados de depósito, las personas que los expidan.</w:t>
      </w:r>
    </w:p>
    <w:p w:rsidR="00410C06" w:rsidRDefault="00410C06" w:rsidP="00BB1E73">
      <w:pPr>
        <w:jc w:val="both"/>
      </w:pPr>
      <w:r>
        <w:t>En los documentos administrativos, los beneficiarios de los títulos nobiliarios y los solicitantes de las anotaciones preventivas.</w:t>
      </w:r>
    </w:p>
    <w:p w:rsidR="00410C06" w:rsidRDefault="00522785" w:rsidP="00BB1E73">
      <w:pPr>
        <w:jc w:val="both"/>
      </w:pPr>
      <w:r>
        <w:t>BASE IMPONIBLE</w:t>
      </w:r>
    </w:p>
    <w:p w:rsidR="00522785" w:rsidRDefault="00522785" w:rsidP="00BB1E73">
      <w:pPr>
        <w:jc w:val="both"/>
      </w:pPr>
      <w:r>
        <w:t xml:space="preserve">En los documentos notariales (escrituras) que tengan por objeto cantidad o cosa valuable servirá de base el valor declarado sin perjuicio de la comprobación administrativa. </w:t>
      </w:r>
    </w:p>
    <w:p w:rsidR="00522785" w:rsidRDefault="00522785" w:rsidP="00BB1E73">
      <w:pPr>
        <w:jc w:val="both"/>
      </w:pPr>
      <w:r>
        <w:t>En los derechos reales de garantía la base será el importe de la obligación o capital garantizado (con intereses, indemnizaciones y penas por incumplimiento). Si no constare expresamente se tomará como base el capital y tres años de intereses.</w:t>
      </w:r>
    </w:p>
    <w:p w:rsidR="00522785" w:rsidRDefault="00522785" w:rsidP="00BB1E73">
      <w:pPr>
        <w:jc w:val="both"/>
      </w:pPr>
      <w:r>
        <w:t>En las letras de cambio servirá de base la cantidad girada y en los certificados de depósito su nominal. Si el vencimiento de la letra excede de 6 meses se exigirá el impuesto correspondiente al duplo de la base.</w:t>
      </w:r>
    </w:p>
    <w:p w:rsidR="00522785" w:rsidRDefault="00522785" w:rsidP="00BB1E73">
      <w:pPr>
        <w:jc w:val="both"/>
      </w:pPr>
      <w:r>
        <w:lastRenderedPageBreak/>
        <w:t>En los documentos administrativos el valor del derecho que se garantice, publique o constituya.</w:t>
      </w:r>
    </w:p>
    <w:p w:rsidR="00522785" w:rsidRDefault="00522785" w:rsidP="00BB1E73">
      <w:pPr>
        <w:jc w:val="both"/>
      </w:pPr>
      <w:r>
        <w:t>CUOTA TRIBUTARIA</w:t>
      </w:r>
    </w:p>
    <w:p w:rsidR="00522785" w:rsidRDefault="001946BE" w:rsidP="00BB1E73">
      <w:pPr>
        <w:jc w:val="both"/>
      </w:pPr>
      <w:r>
        <w:t>En los documentos notariales se pagará como cuota fija 0.15 euros por f</w:t>
      </w:r>
      <w:r w:rsidR="0047003A">
        <w:t>olio o 0.30 por pliego</w:t>
      </w:r>
    </w:p>
    <w:p w:rsidR="0047003A" w:rsidRDefault="0047003A" w:rsidP="00BB1E73">
      <w:pPr>
        <w:jc w:val="both"/>
      </w:pPr>
      <w:r>
        <w:t>Cuando los documentos notariales tengan por objeto cantidad o cosa valuable tributarán por una cuota variable al tipo de gravamen aprobado por la Comunidad Autónoma y si no hubiera aprobado tipo al 0,50 %. Esta cuota es incompatible con ITP, OS e I S y D.</w:t>
      </w:r>
    </w:p>
    <w:p w:rsidR="0047003A" w:rsidRDefault="0047003A" w:rsidP="00BB1E73">
      <w:pPr>
        <w:jc w:val="both"/>
      </w:pPr>
      <w:r>
        <w:t>En los documentos mercantiles, de acuerdo con la escala prevista en la Ley.</w:t>
      </w:r>
    </w:p>
    <w:p w:rsidR="0047003A" w:rsidRDefault="0047003A" w:rsidP="00BB1E73">
      <w:pPr>
        <w:jc w:val="both"/>
      </w:pPr>
      <w:r>
        <w:t>En los títulos nobiliarios por la escala prevista en la Ley y las anotaciones preventivas al 0,50 %.</w:t>
      </w:r>
    </w:p>
    <w:p w:rsidR="0047003A" w:rsidRDefault="0047003A" w:rsidP="00BB1E73">
      <w:pPr>
        <w:jc w:val="both"/>
        <w:rPr>
          <w:b/>
        </w:rPr>
      </w:pPr>
      <w:r w:rsidRPr="0047003A">
        <w:rPr>
          <w:b/>
        </w:rPr>
        <w:t>5) DISPOSICIONES COMUNES: EXENCIONES, DEDUCCIONES Y BONIFICACIONES EN LA CUOTA.</w:t>
      </w:r>
    </w:p>
    <w:p w:rsidR="0047003A" w:rsidRDefault="0047003A" w:rsidP="00BB1E73">
      <w:pPr>
        <w:jc w:val="both"/>
      </w:pPr>
      <w:r>
        <w:t>EXENCIONES.</w:t>
      </w:r>
    </w:p>
    <w:p w:rsidR="0047003A" w:rsidRDefault="0047003A" w:rsidP="00BB1E73">
      <w:pPr>
        <w:jc w:val="both"/>
      </w:pPr>
      <w:r>
        <w:t xml:space="preserve">Subjetivas: Estado, CCAA, EELL y sus establecimientos de beneficencia, cultura, seguridad social, docentes y científicos; entidades sin fines lucrativos, cajas de ahorro y fundaciones </w:t>
      </w:r>
      <w:r w:rsidR="005F51A0">
        <w:t>bancarias, iglesia católica y otras iglesias con convenio con el Estado, Instituto de España, Reales Academias, Cruz Roja, Once, Obra pía de los santos lugares.</w:t>
      </w:r>
    </w:p>
    <w:p w:rsidR="005F51A0" w:rsidRDefault="005F51A0" w:rsidP="00BB1E73">
      <w:pPr>
        <w:jc w:val="both"/>
      </w:pPr>
      <w:r>
        <w:t>Objetivas: Tratados o convenios internacionales, transmisiones entre cónyuges y con la sociedad conyugal, pagos de servicios personales o créditos, VPO, préstamos, transmisiones de valores, vehículos usados transmitidos a concesionarios para su reventa, escrituras de cancelación de hipotecas</w:t>
      </w:r>
      <w:r w:rsidR="00E74DA8">
        <w:t xml:space="preserve">, </w:t>
      </w:r>
      <w:r w:rsidR="00E74DA8" w:rsidRPr="00E74DA8">
        <w:rPr>
          <w:color w:val="FF0000"/>
        </w:rPr>
        <w:t>los arrendamientos de vivienda para uso estable y permanente</w:t>
      </w:r>
      <w:r w:rsidR="00E74DA8">
        <w:t>, entre otras.</w:t>
      </w:r>
    </w:p>
    <w:p w:rsidR="005F51A0" w:rsidRDefault="005F51A0" w:rsidP="00BB1E73">
      <w:pPr>
        <w:jc w:val="both"/>
      </w:pPr>
      <w:r>
        <w:t>DEDUCCIONES Y BONIFICACIONES</w:t>
      </w:r>
    </w:p>
    <w:p w:rsidR="005F51A0" w:rsidRDefault="005F51A0" w:rsidP="00BB1E73">
      <w:pPr>
        <w:jc w:val="both"/>
      </w:pPr>
      <w:r>
        <w:t>Transmisiones patrimoniales onerosas en Ceuta y Melilla: Bonificación del 50%</w:t>
      </w:r>
    </w:p>
    <w:p w:rsidR="005F51A0" w:rsidRDefault="005F51A0" w:rsidP="00BB1E73">
      <w:pPr>
        <w:jc w:val="both"/>
      </w:pPr>
      <w:r>
        <w:t>Resto de bonificaciones y deducciones que puedan aprobar las CCAA</w:t>
      </w:r>
    </w:p>
    <w:p w:rsidR="00C82ADC" w:rsidRPr="0047003A" w:rsidRDefault="00C82ADC" w:rsidP="00BB1E73">
      <w:pPr>
        <w:jc w:val="both"/>
      </w:pPr>
      <w:bookmarkStart w:id="0" w:name="_GoBack"/>
      <w:bookmarkEnd w:id="0"/>
    </w:p>
    <w:p w:rsidR="00E3457B" w:rsidRDefault="00E3457B" w:rsidP="00BC2BEB">
      <w:pPr>
        <w:ind w:left="708"/>
        <w:jc w:val="both"/>
      </w:pPr>
    </w:p>
    <w:p w:rsidR="00BC2BEB" w:rsidRDefault="00BC2BEB" w:rsidP="00BC2BEB">
      <w:pPr>
        <w:ind w:left="708"/>
        <w:jc w:val="both"/>
      </w:pPr>
    </w:p>
    <w:p w:rsidR="001A767A" w:rsidRDefault="001A767A" w:rsidP="001A767A">
      <w:pPr>
        <w:pStyle w:val="Prrafodelista"/>
        <w:ind w:left="1004"/>
        <w:jc w:val="both"/>
      </w:pPr>
    </w:p>
    <w:p w:rsidR="001A767A" w:rsidRDefault="001A767A" w:rsidP="00A5034F">
      <w:pPr>
        <w:pStyle w:val="Prrafodelista"/>
        <w:ind w:left="644"/>
        <w:jc w:val="both"/>
      </w:pPr>
    </w:p>
    <w:p w:rsidR="003B553D" w:rsidRPr="00A5034F" w:rsidRDefault="003B553D" w:rsidP="00A5034F">
      <w:pPr>
        <w:pStyle w:val="Prrafodelista"/>
        <w:ind w:left="644"/>
        <w:jc w:val="both"/>
      </w:pPr>
    </w:p>
    <w:sectPr w:rsidR="003B553D" w:rsidRPr="00A5034F" w:rsidSect="0001450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B8"/>
    <w:multiLevelType w:val="multilevel"/>
    <w:tmpl w:val="C22E0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3BB4B4A"/>
    <w:multiLevelType w:val="hybridMultilevel"/>
    <w:tmpl w:val="D9AC309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3B5563"/>
    <w:multiLevelType w:val="hybridMultilevel"/>
    <w:tmpl w:val="5CE645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851327"/>
    <w:multiLevelType w:val="hybridMultilevel"/>
    <w:tmpl w:val="EDE642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CD329FC"/>
    <w:multiLevelType w:val="hybridMultilevel"/>
    <w:tmpl w:val="4CC6AC0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1644D54"/>
    <w:multiLevelType w:val="hybridMultilevel"/>
    <w:tmpl w:val="CD4C6B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2311525"/>
    <w:multiLevelType w:val="hybridMultilevel"/>
    <w:tmpl w:val="C97653FE"/>
    <w:lvl w:ilvl="0" w:tplc="36246638">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7">
    <w:nsid w:val="17E601BD"/>
    <w:multiLevelType w:val="hybridMultilevel"/>
    <w:tmpl w:val="F6E4367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86F01CB"/>
    <w:multiLevelType w:val="hybridMultilevel"/>
    <w:tmpl w:val="0F76A04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E6402A"/>
    <w:multiLevelType w:val="hybridMultilevel"/>
    <w:tmpl w:val="AF0861E4"/>
    <w:lvl w:ilvl="0" w:tplc="DD302E6E">
      <w:start w:val="3"/>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0431FF"/>
    <w:multiLevelType w:val="hybridMultilevel"/>
    <w:tmpl w:val="7EE80DE6"/>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11">
    <w:nsid w:val="1F3F5DC6"/>
    <w:multiLevelType w:val="hybridMultilevel"/>
    <w:tmpl w:val="383E2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25F26CA2"/>
    <w:multiLevelType w:val="hybridMultilevel"/>
    <w:tmpl w:val="E53AA6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1AC5D0F"/>
    <w:multiLevelType w:val="hybridMultilevel"/>
    <w:tmpl w:val="BC2EDB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2C5774A"/>
    <w:multiLevelType w:val="hybridMultilevel"/>
    <w:tmpl w:val="AD3C62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8D90F9E"/>
    <w:multiLevelType w:val="hybridMultilevel"/>
    <w:tmpl w:val="0066896E"/>
    <w:lvl w:ilvl="0" w:tplc="472CB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3CDD22FB"/>
    <w:multiLevelType w:val="hybridMultilevel"/>
    <w:tmpl w:val="CF7AFFF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1D953CB"/>
    <w:multiLevelType w:val="hybridMultilevel"/>
    <w:tmpl w:val="B7DAB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48A24FA"/>
    <w:multiLevelType w:val="hybridMultilevel"/>
    <w:tmpl w:val="E070E05E"/>
    <w:lvl w:ilvl="0" w:tplc="1682F29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44A541D9"/>
    <w:multiLevelType w:val="hybridMultilevel"/>
    <w:tmpl w:val="4A3064AA"/>
    <w:lvl w:ilvl="0" w:tplc="2FECCA92">
      <w:start w:val="1"/>
      <w:numFmt w:val="decimal"/>
      <w:lvlText w:val="%1."/>
      <w:lvlJc w:val="left"/>
      <w:pPr>
        <w:ind w:left="644"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960B2B"/>
    <w:multiLevelType w:val="hybridMultilevel"/>
    <w:tmpl w:val="C8144F2E"/>
    <w:lvl w:ilvl="0" w:tplc="EC9828AC">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52A37DE9"/>
    <w:multiLevelType w:val="hybridMultilevel"/>
    <w:tmpl w:val="56F45C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B1A4CBA"/>
    <w:multiLevelType w:val="hybridMultilevel"/>
    <w:tmpl w:val="8CD0AF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16A72F9"/>
    <w:multiLevelType w:val="hybridMultilevel"/>
    <w:tmpl w:val="87C4D92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3575539"/>
    <w:multiLevelType w:val="hybridMultilevel"/>
    <w:tmpl w:val="87901B0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9D71E6C"/>
    <w:multiLevelType w:val="hybridMultilevel"/>
    <w:tmpl w:val="178E1B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E895FEA"/>
    <w:multiLevelType w:val="hybridMultilevel"/>
    <w:tmpl w:val="D49A8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EC67995"/>
    <w:multiLevelType w:val="hybridMultilevel"/>
    <w:tmpl w:val="6136D0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7B3D3835"/>
    <w:multiLevelType w:val="hybridMultilevel"/>
    <w:tmpl w:val="E9BC79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F2E5D8B"/>
    <w:multiLevelType w:val="hybridMultilevel"/>
    <w:tmpl w:val="F524EEF2"/>
    <w:lvl w:ilvl="0" w:tplc="7CB21C46">
      <w:start w:val="1"/>
      <w:numFmt w:val="decimal"/>
      <w:lvlText w:val="%1)"/>
      <w:lvlJc w:val="left"/>
      <w:pPr>
        <w:ind w:left="1004" w:hanging="360"/>
      </w:pPr>
      <w:rPr>
        <w:rFonts w:hint="default"/>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30">
    <w:nsid w:val="7F716920"/>
    <w:multiLevelType w:val="hybridMultilevel"/>
    <w:tmpl w:val="51E8A8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5"/>
  </w:num>
  <w:num w:numId="3">
    <w:abstractNumId w:val="11"/>
  </w:num>
  <w:num w:numId="4">
    <w:abstractNumId w:val="4"/>
  </w:num>
  <w:num w:numId="5">
    <w:abstractNumId w:val="12"/>
  </w:num>
  <w:num w:numId="6">
    <w:abstractNumId w:val="25"/>
  </w:num>
  <w:num w:numId="7">
    <w:abstractNumId w:val="7"/>
  </w:num>
  <w:num w:numId="8">
    <w:abstractNumId w:val="16"/>
  </w:num>
  <w:num w:numId="9">
    <w:abstractNumId w:val="22"/>
  </w:num>
  <w:num w:numId="10">
    <w:abstractNumId w:val="20"/>
  </w:num>
  <w:num w:numId="11">
    <w:abstractNumId w:val="26"/>
  </w:num>
  <w:num w:numId="12">
    <w:abstractNumId w:val="18"/>
  </w:num>
  <w:num w:numId="13">
    <w:abstractNumId w:val="10"/>
  </w:num>
  <w:num w:numId="14">
    <w:abstractNumId w:val="17"/>
  </w:num>
  <w:num w:numId="15">
    <w:abstractNumId w:val="1"/>
  </w:num>
  <w:num w:numId="16">
    <w:abstractNumId w:val="28"/>
  </w:num>
  <w:num w:numId="17">
    <w:abstractNumId w:val="8"/>
  </w:num>
  <w:num w:numId="18">
    <w:abstractNumId w:val="5"/>
  </w:num>
  <w:num w:numId="19">
    <w:abstractNumId w:val="27"/>
  </w:num>
  <w:num w:numId="20">
    <w:abstractNumId w:val="21"/>
  </w:num>
  <w:num w:numId="21">
    <w:abstractNumId w:val="30"/>
  </w:num>
  <w:num w:numId="22">
    <w:abstractNumId w:val="13"/>
  </w:num>
  <w:num w:numId="23">
    <w:abstractNumId w:val="2"/>
  </w:num>
  <w:num w:numId="24">
    <w:abstractNumId w:val="14"/>
  </w:num>
  <w:num w:numId="25">
    <w:abstractNumId w:val="24"/>
  </w:num>
  <w:num w:numId="26">
    <w:abstractNumId w:val="3"/>
  </w:num>
  <w:num w:numId="27">
    <w:abstractNumId w:val="19"/>
  </w:num>
  <w:num w:numId="28">
    <w:abstractNumId w:val="9"/>
  </w:num>
  <w:num w:numId="29">
    <w:abstractNumId w:val="29"/>
  </w:num>
  <w:num w:numId="30">
    <w:abstractNumId w:val="6"/>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hyphenationZone w:val="425"/>
  <w:characterSpacingControl w:val="doNotCompress"/>
  <w:compat/>
  <w:rsids>
    <w:rsidRoot w:val="001425F0"/>
    <w:rsid w:val="00014507"/>
    <w:rsid w:val="0003012E"/>
    <w:rsid w:val="00035E51"/>
    <w:rsid w:val="000B0D9E"/>
    <w:rsid w:val="00102231"/>
    <w:rsid w:val="00106424"/>
    <w:rsid w:val="00107700"/>
    <w:rsid w:val="00140736"/>
    <w:rsid w:val="001425F0"/>
    <w:rsid w:val="00151FA6"/>
    <w:rsid w:val="00163846"/>
    <w:rsid w:val="001946BE"/>
    <w:rsid w:val="00197EF8"/>
    <w:rsid w:val="001A767A"/>
    <w:rsid w:val="002406CF"/>
    <w:rsid w:val="00254D7B"/>
    <w:rsid w:val="00281C09"/>
    <w:rsid w:val="0029465D"/>
    <w:rsid w:val="002D5E94"/>
    <w:rsid w:val="00312B8A"/>
    <w:rsid w:val="00344759"/>
    <w:rsid w:val="00370212"/>
    <w:rsid w:val="003A272D"/>
    <w:rsid w:val="003B553D"/>
    <w:rsid w:val="003E1C3F"/>
    <w:rsid w:val="00405851"/>
    <w:rsid w:val="00410C06"/>
    <w:rsid w:val="0042212A"/>
    <w:rsid w:val="0045102D"/>
    <w:rsid w:val="0045273B"/>
    <w:rsid w:val="0047003A"/>
    <w:rsid w:val="0047513A"/>
    <w:rsid w:val="00486D13"/>
    <w:rsid w:val="004A4F8D"/>
    <w:rsid w:val="004B0ED2"/>
    <w:rsid w:val="004B3BE1"/>
    <w:rsid w:val="004B7CD6"/>
    <w:rsid w:val="004D3EB8"/>
    <w:rsid w:val="004D6864"/>
    <w:rsid w:val="004F7288"/>
    <w:rsid w:val="005045F2"/>
    <w:rsid w:val="00522785"/>
    <w:rsid w:val="00522A10"/>
    <w:rsid w:val="00555485"/>
    <w:rsid w:val="00556439"/>
    <w:rsid w:val="005E2C6D"/>
    <w:rsid w:val="005F261C"/>
    <w:rsid w:val="005F51A0"/>
    <w:rsid w:val="006019CF"/>
    <w:rsid w:val="00604A40"/>
    <w:rsid w:val="00641A99"/>
    <w:rsid w:val="00642E10"/>
    <w:rsid w:val="00675C4E"/>
    <w:rsid w:val="006C4A18"/>
    <w:rsid w:val="006F2CD8"/>
    <w:rsid w:val="00722C78"/>
    <w:rsid w:val="00762FCA"/>
    <w:rsid w:val="007631B2"/>
    <w:rsid w:val="00777478"/>
    <w:rsid w:val="007C00CE"/>
    <w:rsid w:val="007C5CFF"/>
    <w:rsid w:val="007D18DE"/>
    <w:rsid w:val="00810A1B"/>
    <w:rsid w:val="0081155E"/>
    <w:rsid w:val="00880F95"/>
    <w:rsid w:val="008D1241"/>
    <w:rsid w:val="00923CF3"/>
    <w:rsid w:val="009572B8"/>
    <w:rsid w:val="00962F67"/>
    <w:rsid w:val="00964483"/>
    <w:rsid w:val="00967D87"/>
    <w:rsid w:val="0098467F"/>
    <w:rsid w:val="0098761E"/>
    <w:rsid w:val="009B7874"/>
    <w:rsid w:val="009D6FCD"/>
    <w:rsid w:val="00A06C9D"/>
    <w:rsid w:val="00A221A9"/>
    <w:rsid w:val="00A5034F"/>
    <w:rsid w:val="00B00942"/>
    <w:rsid w:val="00B12FD0"/>
    <w:rsid w:val="00B27C67"/>
    <w:rsid w:val="00B50D0D"/>
    <w:rsid w:val="00B810B4"/>
    <w:rsid w:val="00BA6408"/>
    <w:rsid w:val="00BB1E73"/>
    <w:rsid w:val="00BC2BEB"/>
    <w:rsid w:val="00BE5F6D"/>
    <w:rsid w:val="00C12724"/>
    <w:rsid w:val="00C6589E"/>
    <w:rsid w:val="00C75751"/>
    <w:rsid w:val="00C82ADC"/>
    <w:rsid w:val="00CB45A0"/>
    <w:rsid w:val="00CC1FD4"/>
    <w:rsid w:val="00CD7F60"/>
    <w:rsid w:val="00CE484F"/>
    <w:rsid w:val="00CE6EEC"/>
    <w:rsid w:val="00D44940"/>
    <w:rsid w:val="00D44C13"/>
    <w:rsid w:val="00D66B7B"/>
    <w:rsid w:val="00D8269A"/>
    <w:rsid w:val="00D94026"/>
    <w:rsid w:val="00DE7961"/>
    <w:rsid w:val="00E0533F"/>
    <w:rsid w:val="00E13A24"/>
    <w:rsid w:val="00E16362"/>
    <w:rsid w:val="00E3457B"/>
    <w:rsid w:val="00E74DA8"/>
    <w:rsid w:val="00E84BF4"/>
    <w:rsid w:val="00E9082D"/>
    <w:rsid w:val="00E94717"/>
    <w:rsid w:val="00ED4C4D"/>
    <w:rsid w:val="00F052F6"/>
    <w:rsid w:val="00F43E55"/>
    <w:rsid w:val="00F6565E"/>
    <w:rsid w:val="00F6635F"/>
    <w:rsid w:val="00F74156"/>
    <w:rsid w:val="00F848C0"/>
    <w:rsid w:val="00FA52E7"/>
    <w:rsid w:val="00FC5CC8"/>
    <w:rsid w:val="00FD557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507"/>
  </w:style>
  <w:style w:type="paragraph" w:styleId="Ttulo2">
    <w:name w:val="heading 2"/>
    <w:basedOn w:val="Normal"/>
    <w:next w:val="Normal"/>
    <w:link w:val="Ttulo2Car"/>
    <w:uiPriority w:val="9"/>
    <w:unhideWhenUsed/>
    <w:qFormat/>
    <w:rsid w:val="001425F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425F0"/>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1425F0"/>
    <w:pPr>
      <w:ind w:left="720"/>
      <w:contextualSpacing/>
    </w:pPr>
  </w:style>
  <w:style w:type="paragraph" w:customStyle="1" w:styleId="parrafo">
    <w:name w:val="parrafo"/>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bloque">
    <w:name w:val="bloque"/>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articulo">
    <w:name w:val="articulo"/>
    <w:basedOn w:val="Normal"/>
    <w:rsid w:val="00641A99"/>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43241733">
      <w:bodyDiv w:val="1"/>
      <w:marLeft w:val="0"/>
      <w:marRight w:val="0"/>
      <w:marTop w:val="0"/>
      <w:marBottom w:val="0"/>
      <w:divBdr>
        <w:top w:val="none" w:sz="0" w:space="0" w:color="auto"/>
        <w:left w:val="none" w:sz="0" w:space="0" w:color="auto"/>
        <w:bottom w:val="none" w:sz="0" w:space="0" w:color="auto"/>
        <w:right w:val="none" w:sz="0" w:space="0" w:color="auto"/>
      </w:divBdr>
    </w:div>
    <w:div w:id="1606570703">
      <w:bodyDiv w:val="1"/>
      <w:marLeft w:val="0"/>
      <w:marRight w:val="0"/>
      <w:marTop w:val="0"/>
      <w:marBottom w:val="0"/>
      <w:divBdr>
        <w:top w:val="none" w:sz="0" w:space="0" w:color="auto"/>
        <w:left w:val="none" w:sz="0" w:space="0" w:color="auto"/>
        <w:bottom w:val="none" w:sz="0" w:space="0" w:color="auto"/>
        <w:right w:val="none" w:sz="0" w:space="0" w:color="auto"/>
      </w:divBdr>
      <w:divsChild>
        <w:div w:id="400955782">
          <w:marLeft w:val="0"/>
          <w:marRight w:val="0"/>
          <w:marTop w:val="0"/>
          <w:marBottom w:val="0"/>
          <w:divBdr>
            <w:top w:val="none" w:sz="0" w:space="0" w:color="auto"/>
            <w:left w:val="none" w:sz="0" w:space="0" w:color="auto"/>
            <w:bottom w:val="none" w:sz="0" w:space="0" w:color="auto"/>
            <w:right w:val="none" w:sz="0" w:space="0" w:color="auto"/>
          </w:divBdr>
        </w:div>
        <w:div w:id="1219166884">
          <w:marLeft w:val="0"/>
          <w:marRight w:val="0"/>
          <w:marTop w:val="0"/>
          <w:marBottom w:val="0"/>
          <w:divBdr>
            <w:top w:val="none" w:sz="0" w:space="0" w:color="auto"/>
            <w:left w:val="none" w:sz="0" w:space="0" w:color="auto"/>
            <w:bottom w:val="none" w:sz="0" w:space="0" w:color="auto"/>
            <w:right w:val="none" w:sz="0" w:space="0" w:color="auto"/>
          </w:divBdr>
        </w:div>
      </w:divsChild>
    </w:div>
    <w:div w:id="166593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729</TotalTime>
  <Pages>6</Pages>
  <Words>2025</Words>
  <Characters>11139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Fernando</cp:lastModifiedBy>
  <cp:revision>45</cp:revision>
  <dcterms:created xsi:type="dcterms:W3CDTF">2016-05-02T17:28:00Z</dcterms:created>
  <dcterms:modified xsi:type="dcterms:W3CDTF">2019-03-16T14:53:00Z</dcterms:modified>
</cp:coreProperties>
</file>